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E083" w14:textId="77777777" w:rsidR="00A22CB6" w:rsidRPr="00504888" w:rsidRDefault="00A22CB6" w:rsidP="00A22CB6">
      <w:pPr>
        <w:jc w:val="center"/>
        <w:rPr>
          <w:rFonts w:ascii="Times New Roman" w:hAnsi="Times New Roman" w:cs="Times New Roman"/>
          <w:b/>
        </w:rPr>
      </w:pPr>
      <w:r w:rsidRPr="00504888">
        <w:rPr>
          <w:rFonts w:ascii="Times New Roman" w:hAnsi="Times New Roman" w:cs="Times New Roman"/>
          <w:b/>
        </w:rPr>
        <w:t>ANKETA APIE KORUPCIJOS PREVENCIJOS PRIEMONIŲ VYKDYTOJUS/ATSAKINGUS ASMENIS</w:t>
      </w:r>
    </w:p>
    <w:p w14:paraId="7B13CEB0" w14:textId="77777777" w:rsidR="00A22CB6" w:rsidRPr="00504888" w:rsidRDefault="00A22CB6" w:rsidP="00A22CB6">
      <w:pPr>
        <w:rPr>
          <w:rFonts w:ascii="Times New Roman" w:hAnsi="Times New Roman" w:cs="Times New Roman"/>
        </w:rPr>
      </w:pPr>
      <w:r w:rsidRPr="00504888">
        <w:rPr>
          <w:rFonts w:ascii="Times New Roman" w:hAnsi="Times New Roman" w:cs="Times New Roman"/>
        </w:rPr>
        <w:t xml:space="preserve">Įstaiga: </w:t>
      </w:r>
      <w:r w:rsidRPr="00504888">
        <w:rPr>
          <w:rFonts w:ascii="Times New Roman" w:hAnsi="Times New Roman" w:cs="Times New Roman"/>
          <w:b/>
        </w:rPr>
        <w:t>Lietuvos Respublikos konkurencijos taryba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"/>
        <w:gridCol w:w="3698"/>
        <w:gridCol w:w="3260"/>
        <w:gridCol w:w="2192"/>
        <w:gridCol w:w="2966"/>
        <w:gridCol w:w="2347"/>
      </w:tblGrid>
      <w:tr w:rsidR="00A22CB6" w:rsidRPr="00504888" w14:paraId="0FDF4A81" w14:textId="77777777" w:rsidTr="003731FD">
        <w:tc>
          <w:tcPr>
            <w:tcW w:w="138" w:type="pct"/>
            <w:shd w:val="clear" w:color="auto" w:fill="FFFFFF" w:themeFill="background1"/>
          </w:tcPr>
          <w:p w14:paraId="41ED329E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shd w:val="clear" w:color="auto" w:fill="FFFFFF" w:themeFill="background1"/>
          </w:tcPr>
          <w:p w14:paraId="43BBBAD4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1096" w:type="pct"/>
          </w:tcPr>
          <w:p w14:paraId="13FB3248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Atsakingas/vykdantis asmuo (vardas, pavardė, pareigos)</w:t>
            </w:r>
          </w:p>
        </w:tc>
        <w:tc>
          <w:tcPr>
            <w:tcW w:w="737" w:type="pct"/>
          </w:tcPr>
          <w:p w14:paraId="26C4B0C6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997" w:type="pct"/>
          </w:tcPr>
          <w:p w14:paraId="62BE73BE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 xml:space="preserve">Kontaktai (el. p./tel. </w:t>
            </w:r>
            <w:proofErr w:type="spellStart"/>
            <w:r w:rsidRPr="00504888">
              <w:rPr>
                <w:rFonts w:ascii="Times New Roman" w:hAnsi="Times New Roman" w:cs="Times New Roman"/>
                <w:b/>
              </w:rPr>
              <w:t>nr.</w:t>
            </w:r>
            <w:proofErr w:type="spellEnd"/>
            <w:r w:rsidRPr="0050488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9" w:type="pct"/>
          </w:tcPr>
          <w:p w14:paraId="3F6B3BBB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Darbo stažas einamosiose pareigose (metais ir mėnesiais)</w:t>
            </w:r>
          </w:p>
        </w:tc>
      </w:tr>
      <w:tr w:rsidR="00A22CB6" w:rsidRPr="00504888" w14:paraId="65FFC6DD" w14:textId="77777777" w:rsidTr="003731FD">
        <w:trPr>
          <w:trHeight w:val="907"/>
        </w:trPr>
        <w:tc>
          <w:tcPr>
            <w:tcW w:w="138" w:type="pct"/>
            <w:shd w:val="clear" w:color="auto" w:fill="92D050"/>
          </w:tcPr>
          <w:p w14:paraId="0439FAFA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43" w:type="pct"/>
            <w:shd w:val="clear" w:color="auto" w:fill="92D050"/>
          </w:tcPr>
          <w:p w14:paraId="3F5E0091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1096" w:type="pct"/>
          </w:tcPr>
          <w:p w14:paraId="40455450" w14:textId="79748E60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Jurgita Brėskytė, Konkurencijos tarybos vyriausioji patarėja,</w:t>
            </w:r>
          </w:p>
          <w:p w14:paraId="3EC064A5" w14:textId="77777777" w:rsidR="00A22CB6" w:rsidRPr="00504888" w:rsidRDefault="00A22CB6" w:rsidP="00A2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Stepanienė</w:t>
            </w:r>
            <w:r w:rsidRPr="00504888">
              <w:rPr>
                <w:rFonts w:ascii="Times New Roman" w:hAnsi="Times New Roman" w:cs="Times New Roman"/>
              </w:rPr>
              <w:t>,</w:t>
            </w:r>
          </w:p>
          <w:p w14:paraId="75E1D0C6" w14:textId="643728F2" w:rsidR="00A22CB6" w:rsidRPr="00504888" w:rsidRDefault="00A22CB6" w:rsidP="00A22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Konkurencijos politikos</w:t>
            </w:r>
            <w:r w:rsidRPr="005048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grupės</w:t>
            </w:r>
            <w:r w:rsidRPr="00504888">
              <w:rPr>
                <w:rFonts w:ascii="Times New Roman" w:hAnsi="Times New Roman" w:cs="Times New Roman"/>
              </w:rPr>
              <w:t xml:space="preserve"> vyriausioji specialistė</w:t>
            </w:r>
          </w:p>
        </w:tc>
        <w:tc>
          <w:tcPr>
            <w:tcW w:w="737" w:type="pct"/>
          </w:tcPr>
          <w:p w14:paraId="73133D07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14:paraId="4419348C" w14:textId="55109D6F" w:rsidR="00A22CB6" w:rsidRPr="00D77C9C" w:rsidRDefault="00C95A94" w:rsidP="00A22CB6">
            <w:pPr>
              <w:rPr>
                <w:rFonts w:ascii="Times New Roman" w:hAnsi="Times New Roman" w:cs="Times New Roman"/>
              </w:rPr>
            </w:pPr>
            <w:hyperlink r:id="rId6" w:history="1">
              <w:r w:rsidR="00A22CB6" w:rsidRPr="00D77C9C">
                <w:rPr>
                  <w:rStyle w:val="Hyperlink"/>
                  <w:rFonts w:ascii="Times New Roman" w:hAnsi="Times New Roman" w:cs="Times New Roman"/>
                </w:rPr>
                <w:t>Jurgita.Breskyte@kt.gov.lt</w:t>
              </w:r>
            </w:hyperlink>
          </w:p>
          <w:p w14:paraId="1601B435" w14:textId="7F7F9F69" w:rsidR="00A22CB6" w:rsidRPr="004F03D4" w:rsidRDefault="00A22CB6" w:rsidP="00A22CB6">
            <w:pPr>
              <w:rPr>
                <w:rFonts w:ascii="Times New Roman" w:hAnsi="Times New Roman" w:cs="Times New Roman"/>
              </w:rPr>
            </w:pPr>
            <w:r w:rsidRPr="004F03D4">
              <w:rPr>
                <w:rFonts w:ascii="Times New Roman" w:hAnsi="Times New Roman" w:cs="Times New Roman"/>
              </w:rPr>
              <w:t xml:space="preserve">tel. (8 5) </w:t>
            </w:r>
            <w:r>
              <w:rPr>
                <w:rFonts w:ascii="Times New Roman" w:hAnsi="Times New Roman" w:cs="Times New Roman"/>
              </w:rPr>
              <w:t>2614156</w:t>
            </w:r>
          </w:p>
          <w:p w14:paraId="5A6B0475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</w:p>
          <w:p w14:paraId="5696E6FA" w14:textId="77777777" w:rsidR="00A22CB6" w:rsidRPr="00504888" w:rsidRDefault="00C95A94" w:rsidP="003731FD">
            <w:pPr>
              <w:spacing w:after="60"/>
              <w:rPr>
                <w:rFonts w:ascii="Times New Roman" w:hAnsi="Times New Roman" w:cs="Times New Roman"/>
              </w:rPr>
            </w:pPr>
            <w:hyperlink r:id="rId7" w:history="1">
              <w:r w:rsidR="00A22CB6" w:rsidRPr="0073474C">
                <w:rPr>
                  <w:rStyle w:val="Hyperlink"/>
                  <w:rFonts w:ascii="Times New Roman" w:hAnsi="Times New Roman" w:cs="Times New Roman"/>
                </w:rPr>
                <w:t>Daiva.Stepaniene@kt.gov.lt</w:t>
              </w:r>
            </w:hyperlink>
          </w:p>
          <w:p w14:paraId="7627E2ED" w14:textId="77777777" w:rsidR="00A22CB6" w:rsidRPr="004F03D4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4F03D4">
              <w:rPr>
                <w:rFonts w:ascii="Times New Roman" w:hAnsi="Times New Roman" w:cs="Times New Roman"/>
              </w:rPr>
              <w:t>tel. (8 5) 2126589</w:t>
            </w:r>
          </w:p>
        </w:tc>
        <w:tc>
          <w:tcPr>
            <w:tcW w:w="789" w:type="pct"/>
          </w:tcPr>
          <w:p w14:paraId="7339A3B1" w14:textId="6D144076" w:rsidR="00A22CB6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mėnesiai</w:t>
            </w:r>
          </w:p>
          <w:p w14:paraId="0549B869" w14:textId="77777777" w:rsidR="00A22CB6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</w:p>
          <w:p w14:paraId="78345867" w14:textId="77777777" w:rsidR="00A22CB6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</w:p>
          <w:p w14:paraId="57FED35F" w14:textId="5CAB17E3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mėnuo</w:t>
            </w:r>
          </w:p>
        </w:tc>
      </w:tr>
      <w:tr w:rsidR="00A22CB6" w:rsidRPr="00504888" w14:paraId="1739F885" w14:textId="77777777" w:rsidTr="003731FD">
        <w:trPr>
          <w:trHeight w:val="1042"/>
        </w:trPr>
        <w:tc>
          <w:tcPr>
            <w:tcW w:w="138" w:type="pct"/>
            <w:shd w:val="clear" w:color="auto" w:fill="BDD6EE" w:themeFill="accent5" w:themeFillTint="66"/>
          </w:tcPr>
          <w:p w14:paraId="207D06F2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3" w:type="pct"/>
            <w:shd w:val="clear" w:color="auto" w:fill="BDD6EE" w:themeFill="accent5" w:themeFillTint="66"/>
          </w:tcPr>
          <w:p w14:paraId="778032A6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1096" w:type="pct"/>
          </w:tcPr>
          <w:p w14:paraId="4331C8C4" w14:textId="77777777" w:rsidR="008B387F" w:rsidRPr="00504888" w:rsidRDefault="008B387F" w:rsidP="008B3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Stepanienė</w:t>
            </w:r>
            <w:r w:rsidRPr="00504888">
              <w:rPr>
                <w:rFonts w:ascii="Times New Roman" w:hAnsi="Times New Roman" w:cs="Times New Roman"/>
              </w:rPr>
              <w:t>,</w:t>
            </w:r>
          </w:p>
          <w:p w14:paraId="5D57F31C" w14:textId="67EFD234" w:rsidR="00A22CB6" w:rsidRPr="00504888" w:rsidRDefault="008B387F" w:rsidP="008B387F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Konkurencijos politikos</w:t>
            </w:r>
            <w:r w:rsidRPr="005048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grupės</w:t>
            </w:r>
            <w:r w:rsidRPr="00504888">
              <w:rPr>
                <w:rFonts w:ascii="Times New Roman" w:hAnsi="Times New Roman" w:cs="Times New Roman"/>
              </w:rPr>
              <w:t xml:space="preserve"> vyriausioji specialistė</w:t>
            </w:r>
          </w:p>
        </w:tc>
        <w:tc>
          <w:tcPr>
            <w:tcW w:w="737" w:type="pct"/>
          </w:tcPr>
          <w:p w14:paraId="12166A51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Lietuvos Respublikos konkurencijos taryba </w:t>
            </w:r>
          </w:p>
        </w:tc>
        <w:tc>
          <w:tcPr>
            <w:tcW w:w="997" w:type="pct"/>
          </w:tcPr>
          <w:p w14:paraId="6F5C0A9A" w14:textId="77777777" w:rsidR="008B387F" w:rsidRPr="00504888" w:rsidRDefault="008B387F" w:rsidP="008B387F">
            <w:pPr>
              <w:spacing w:after="60"/>
              <w:rPr>
                <w:rFonts w:ascii="Times New Roman" w:hAnsi="Times New Roman" w:cs="Times New Roman"/>
              </w:rPr>
            </w:pPr>
            <w:hyperlink r:id="rId8" w:history="1">
              <w:r w:rsidRPr="0073474C">
                <w:rPr>
                  <w:rStyle w:val="Hyperlink"/>
                  <w:rFonts w:ascii="Times New Roman" w:hAnsi="Times New Roman" w:cs="Times New Roman"/>
                </w:rPr>
                <w:t>Daiva.Stepaniene@kt.gov.lt</w:t>
              </w:r>
            </w:hyperlink>
          </w:p>
          <w:p w14:paraId="7A6C9539" w14:textId="390FA3F1" w:rsidR="00A22CB6" w:rsidRPr="004F03D4" w:rsidRDefault="008B387F" w:rsidP="008B387F">
            <w:pPr>
              <w:spacing w:after="60"/>
              <w:rPr>
                <w:rFonts w:ascii="Times New Roman" w:hAnsi="Times New Roman" w:cs="Times New Roman"/>
              </w:rPr>
            </w:pPr>
            <w:r w:rsidRPr="004F03D4">
              <w:rPr>
                <w:rFonts w:ascii="Times New Roman" w:hAnsi="Times New Roman" w:cs="Times New Roman"/>
              </w:rPr>
              <w:t>tel. (8 5) 2126589</w:t>
            </w:r>
          </w:p>
        </w:tc>
        <w:tc>
          <w:tcPr>
            <w:tcW w:w="789" w:type="pct"/>
          </w:tcPr>
          <w:p w14:paraId="32A5A1B9" w14:textId="1766636E" w:rsidR="00A22CB6" w:rsidRPr="00504888" w:rsidRDefault="008B387F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mėnuo</w:t>
            </w:r>
          </w:p>
        </w:tc>
      </w:tr>
      <w:tr w:rsidR="00A22CB6" w:rsidRPr="00504888" w14:paraId="0D6D188A" w14:textId="77777777" w:rsidTr="003731FD">
        <w:trPr>
          <w:trHeight w:val="906"/>
        </w:trPr>
        <w:tc>
          <w:tcPr>
            <w:tcW w:w="138" w:type="pct"/>
            <w:shd w:val="clear" w:color="auto" w:fill="A8D08D" w:themeFill="accent6" w:themeFillTint="99"/>
          </w:tcPr>
          <w:p w14:paraId="25FFD6A4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43" w:type="pct"/>
            <w:shd w:val="clear" w:color="auto" w:fill="A8D08D" w:themeFill="accent6" w:themeFillTint="99"/>
          </w:tcPr>
          <w:p w14:paraId="62DA20A0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1096" w:type="pct"/>
          </w:tcPr>
          <w:p w14:paraId="65228C2A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Konkurencijos taryba korupcijos prevencijos programų ir planų nerengia</w:t>
            </w:r>
            <w:r w:rsidRPr="0050488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37" w:type="pct"/>
          </w:tcPr>
          <w:p w14:paraId="796812A0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pct"/>
          </w:tcPr>
          <w:p w14:paraId="289F8F7E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</w:tcPr>
          <w:p w14:paraId="0C50A8EC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</w:tr>
      <w:tr w:rsidR="00A22CB6" w:rsidRPr="00504888" w14:paraId="3C1DD487" w14:textId="77777777" w:rsidTr="003731FD">
        <w:trPr>
          <w:trHeight w:val="793"/>
        </w:trPr>
        <w:tc>
          <w:tcPr>
            <w:tcW w:w="138" w:type="pct"/>
            <w:shd w:val="clear" w:color="auto" w:fill="FFC000"/>
          </w:tcPr>
          <w:p w14:paraId="2D531F74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43" w:type="pct"/>
            <w:shd w:val="clear" w:color="auto" w:fill="FFC000"/>
          </w:tcPr>
          <w:p w14:paraId="68EA7D41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1096" w:type="pct"/>
          </w:tcPr>
          <w:p w14:paraId="06D417D5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pct"/>
          </w:tcPr>
          <w:p w14:paraId="11A30B77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pct"/>
          </w:tcPr>
          <w:p w14:paraId="36FB99D7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</w:tcPr>
          <w:p w14:paraId="6D499D20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</w:tr>
      <w:tr w:rsidR="00A22CB6" w:rsidRPr="00504888" w14:paraId="7E87D085" w14:textId="77777777" w:rsidTr="003731FD">
        <w:trPr>
          <w:trHeight w:val="1787"/>
        </w:trPr>
        <w:tc>
          <w:tcPr>
            <w:tcW w:w="138" w:type="pct"/>
            <w:shd w:val="clear" w:color="auto" w:fill="F09492"/>
          </w:tcPr>
          <w:p w14:paraId="5F6F1B47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43" w:type="pct"/>
            <w:shd w:val="clear" w:color="auto" w:fill="F09492"/>
          </w:tcPr>
          <w:p w14:paraId="447663A3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1096" w:type="pct"/>
          </w:tcPr>
          <w:p w14:paraId="0CD92CD3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Agnė Saulienė, </w:t>
            </w:r>
          </w:p>
          <w:p w14:paraId="02994E82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Konkurencijos tarybos</w:t>
            </w:r>
            <w:r w:rsidRPr="00504888">
              <w:rPr>
                <w:rFonts w:ascii="Times New Roman" w:hAnsi="Times New Roman" w:cs="Times New Roman"/>
              </w:rPr>
              <w:t xml:space="preserve"> patarėja</w:t>
            </w:r>
          </w:p>
        </w:tc>
        <w:tc>
          <w:tcPr>
            <w:tcW w:w="737" w:type="pct"/>
          </w:tcPr>
          <w:p w14:paraId="4E657903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14:paraId="25E0533E" w14:textId="77777777" w:rsidR="00A22CB6" w:rsidRDefault="00C95A94" w:rsidP="003731FD">
            <w:pPr>
              <w:spacing w:after="60"/>
              <w:rPr>
                <w:rStyle w:val="Hyperlink"/>
                <w:rFonts w:ascii="Times New Roman" w:hAnsi="Times New Roman" w:cs="Times New Roman"/>
              </w:rPr>
            </w:pPr>
            <w:hyperlink r:id="rId9" w:history="1">
              <w:r w:rsidR="00A22CB6" w:rsidRPr="0073474C">
                <w:rPr>
                  <w:rStyle w:val="Hyperlink"/>
                  <w:rFonts w:ascii="Times New Roman" w:hAnsi="Times New Roman" w:cs="Times New Roman"/>
                </w:rPr>
                <w:t>Agne.Sauliene@kt.gov.lt</w:t>
              </w:r>
            </w:hyperlink>
            <w:r w:rsidR="00A22CB6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29E63243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212 6557</w:t>
            </w:r>
          </w:p>
        </w:tc>
        <w:tc>
          <w:tcPr>
            <w:tcW w:w="789" w:type="pct"/>
          </w:tcPr>
          <w:p w14:paraId="7F230BC7" w14:textId="71D72F08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metai </w:t>
            </w:r>
            <w:r w:rsidR="0083734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mėnesi</w:t>
            </w:r>
            <w:r w:rsidR="00837346">
              <w:rPr>
                <w:rFonts w:ascii="Times New Roman" w:hAnsi="Times New Roman" w:cs="Times New Roman"/>
              </w:rPr>
              <w:t>ų</w:t>
            </w:r>
          </w:p>
        </w:tc>
      </w:tr>
      <w:tr w:rsidR="00A22CB6" w:rsidRPr="00504888" w14:paraId="24DC1BED" w14:textId="77777777" w:rsidTr="003731FD">
        <w:trPr>
          <w:trHeight w:val="535"/>
        </w:trPr>
        <w:tc>
          <w:tcPr>
            <w:tcW w:w="138" w:type="pct"/>
            <w:shd w:val="clear" w:color="auto" w:fill="B4C6E7" w:themeFill="accent1" w:themeFillTint="66"/>
          </w:tcPr>
          <w:p w14:paraId="3B5768A4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43" w:type="pct"/>
            <w:shd w:val="clear" w:color="auto" w:fill="B4C6E7" w:themeFill="accent1" w:themeFillTint="66"/>
          </w:tcPr>
          <w:p w14:paraId="23562BD4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1096" w:type="pct"/>
          </w:tcPr>
          <w:p w14:paraId="3BDC2C19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Arūnas Keraminas, Administracijos direktorius</w:t>
            </w:r>
          </w:p>
        </w:tc>
        <w:tc>
          <w:tcPr>
            <w:tcW w:w="737" w:type="pct"/>
          </w:tcPr>
          <w:p w14:paraId="08948AE2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14:paraId="45A0C4BC" w14:textId="77777777" w:rsidR="00A22CB6" w:rsidRPr="00504888" w:rsidRDefault="00C95A94" w:rsidP="003731FD">
            <w:pPr>
              <w:spacing w:after="60"/>
              <w:rPr>
                <w:rFonts w:ascii="Times New Roman" w:hAnsi="Times New Roman" w:cs="Times New Roman"/>
              </w:rPr>
            </w:pPr>
            <w:hyperlink r:id="rId10" w:history="1">
              <w:r w:rsidR="00A22CB6" w:rsidRPr="00504888">
                <w:rPr>
                  <w:rStyle w:val="Hyperlink"/>
                  <w:rFonts w:ascii="Times New Roman" w:hAnsi="Times New Roman" w:cs="Times New Roman"/>
                </w:rPr>
                <w:t>Arunas.Keraminas@kt.gov.lt</w:t>
              </w:r>
            </w:hyperlink>
          </w:p>
          <w:p w14:paraId="43A848D2" w14:textId="77777777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2127088</w:t>
            </w:r>
          </w:p>
        </w:tc>
        <w:tc>
          <w:tcPr>
            <w:tcW w:w="789" w:type="pct"/>
          </w:tcPr>
          <w:p w14:paraId="29FE890A" w14:textId="3E451336" w:rsidR="00A22CB6" w:rsidRPr="00504888" w:rsidRDefault="00A22CB6" w:rsidP="003731F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  <w:r w:rsidR="00837346">
              <w:rPr>
                <w:rFonts w:ascii="Times New Roman" w:hAnsi="Times New Roman" w:cs="Times New Roman"/>
              </w:rPr>
              <w:t xml:space="preserve"> 5 mėnesiai</w:t>
            </w:r>
          </w:p>
        </w:tc>
      </w:tr>
    </w:tbl>
    <w:p w14:paraId="2B281E07" w14:textId="77777777" w:rsidR="00A22CB6" w:rsidRPr="00504888" w:rsidRDefault="00A22CB6" w:rsidP="00A22CB6">
      <w:pPr>
        <w:rPr>
          <w:rFonts w:ascii="Times New Roman" w:hAnsi="Times New Roman" w:cs="Times New Roman"/>
        </w:rPr>
      </w:pPr>
      <w:r w:rsidRPr="00504888">
        <w:rPr>
          <w:rFonts w:ascii="Times New Roman" w:hAnsi="Times New Roman" w:cs="Times New Roman"/>
        </w:rPr>
        <w:t xml:space="preserve">Anketą užpildė: </w:t>
      </w:r>
      <w:r>
        <w:rPr>
          <w:rFonts w:ascii="Times New Roman" w:hAnsi="Times New Roman" w:cs="Times New Roman"/>
        </w:rPr>
        <w:t>Konkurencijos tarybos</w:t>
      </w:r>
      <w:r w:rsidRPr="00504888">
        <w:rPr>
          <w:rFonts w:ascii="Times New Roman" w:hAnsi="Times New Roman" w:cs="Times New Roman"/>
        </w:rPr>
        <w:t xml:space="preserve"> patarėja </w:t>
      </w:r>
      <w:r>
        <w:rPr>
          <w:rFonts w:ascii="Times New Roman" w:hAnsi="Times New Roman" w:cs="Times New Roman"/>
        </w:rPr>
        <w:t>A. Saulienė</w:t>
      </w:r>
      <w:r w:rsidRPr="00504888">
        <w:rPr>
          <w:rFonts w:ascii="Times New Roman" w:hAnsi="Times New Roman" w:cs="Times New Roman"/>
        </w:rPr>
        <w:t xml:space="preserve">, tel. (8 5) 212 6557, el. p. </w:t>
      </w:r>
      <w:r>
        <w:rPr>
          <w:rFonts w:ascii="Times New Roman" w:hAnsi="Times New Roman" w:cs="Times New Roman"/>
        </w:rPr>
        <w:t>agne.sauliene</w:t>
      </w:r>
      <w:r w:rsidRPr="00504888">
        <w:rPr>
          <w:rFonts w:ascii="Times New Roman" w:hAnsi="Times New Roman" w:cs="Times New Roman"/>
        </w:rPr>
        <w:t>@kt.gov.lt</w:t>
      </w:r>
    </w:p>
    <w:p w14:paraId="6FF35AFA" w14:textId="77777777" w:rsidR="00BB6179" w:rsidRDefault="00BB6179"/>
    <w:sectPr w:rsidR="00BB6179" w:rsidSect="00AA0F1F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AC8A" w14:textId="77777777" w:rsidR="00C95A94" w:rsidRDefault="00C95A94" w:rsidP="00A22CB6">
      <w:pPr>
        <w:spacing w:after="0" w:line="240" w:lineRule="auto"/>
      </w:pPr>
      <w:r>
        <w:separator/>
      </w:r>
    </w:p>
  </w:endnote>
  <w:endnote w:type="continuationSeparator" w:id="0">
    <w:p w14:paraId="705DA0E3" w14:textId="77777777" w:rsidR="00C95A94" w:rsidRDefault="00C95A94" w:rsidP="00A2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E7CE" w14:textId="77777777" w:rsidR="00C95A94" w:rsidRDefault="00C95A94" w:rsidP="00A22CB6">
      <w:pPr>
        <w:spacing w:after="0" w:line="240" w:lineRule="auto"/>
      </w:pPr>
      <w:r>
        <w:separator/>
      </w:r>
    </w:p>
  </w:footnote>
  <w:footnote w:type="continuationSeparator" w:id="0">
    <w:p w14:paraId="54C638C5" w14:textId="77777777" w:rsidR="00C95A94" w:rsidRDefault="00C95A94" w:rsidP="00A22CB6">
      <w:pPr>
        <w:spacing w:after="0" w:line="240" w:lineRule="auto"/>
      </w:pPr>
      <w:r>
        <w:continuationSeparator/>
      </w:r>
    </w:p>
  </w:footnote>
  <w:footnote w:id="1">
    <w:p w14:paraId="3D14BE98" w14:textId="77777777" w:rsidR="00A22CB6" w:rsidRPr="00BD0B70" w:rsidRDefault="00A22CB6" w:rsidP="00A22CB6">
      <w:pPr>
        <w:pStyle w:val="FootnoteText"/>
        <w:rPr>
          <w:rFonts w:ascii="Times New Roman" w:hAnsi="Times New Roman" w:cs="Times New Roman"/>
          <w:sz w:val="16"/>
        </w:rPr>
      </w:pPr>
      <w:r w:rsidRPr="00BD0B70">
        <w:rPr>
          <w:rStyle w:val="FootnoteReference"/>
          <w:sz w:val="16"/>
        </w:rPr>
        <w:footnoteRef/>
      </w:r>
      <w:r w:rsidRPr="00BD0B70">
        <w:rPr>
          <w:sz w:val="16"/>
        </w:rPr>
        <w:t xml:space="preserve"> </w:t>
      </w:r>
      <w:r w:rsidRPr="00BD0B70">
        <w:rPr>
          <w:rFonts w:ascii="Times New Roman" w:hAnsi="Times New Roman" w:cs="Times New Roman"/>
          <w:sz w:val="16"/>
        </w:rPr>
        <w:t xml:space="preserve">Konkurencijos taryba, pagal Lietuvos Respublikos Konstitucijos ir Lietuvos Respublikos konkurencijos įstatymu priskirtą kompetenciją nėra Lietuvos Respublikos nacionalinės kovos su korupcija 2015–2025 metų programos ir jos įgyvendinimo </w:t>
      </w:r>
      <w:proofErr w:type="spellStart"/>
      <w:r w:rsidRPr="00BD0B70">
        <w:rPr>
          <w:rFonts w:ascii="Times New Roman" w:hAnsi="Times New Roman" w:cs="Times New Roman"/>
          <w:sz w:val="16"/>
        </w:rPr>
        <w:t>tarpinstitucinio</w:t>
      </w:r>
      <w:proofErr w:type="spellEnd"/>
      <w:r w:rsidRPr="00BD0B70">
        <w:rPr>
          <w:rFonts w:ascii="Times New Roman" w:hAnsi="Times New Roman" w:cs="Times New Roman"/>
          <w:sz w:val="16"/>
        </w:rPr>
        <w:t xml:space="preserve"> 2015–2019 metų veiklos plano priemones įgyvendinanti institucija.</w:t>
      </w:r>
      <w:r w:rsidRPr="00BD0B70">
        <w:rPr>
          <w:rFonts w:ascii="Times New Roman" w:hAnsi="Times New Roman" w:cs="Times New Roman"/>
          <w:sz w:val="16"/>
          <w:szCs w:val="16"/>
        </w:rPr>
        <w:t xml:space="preserve"> Atsižvelgiant į pagal teisės aktus nustatytas nežymias rizikas ir jų valdymą, mažą korupcijos pasireiškimo tikimybę ir teisės aktų reikalavimus, institucinė kovos su korupcija programa nerengiama.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B6"/>
    <w:rsid w:val="00237D93"/>
    <w:rsid w:val="00837346"/>
    <w:rsid w:val="008B387F"/>
    <w:rsid w:val="009B4C84"/>
    <w:rsid w:val="00A22CB6"/>
    <w:rsid w:val="00BB6179"/>
    <w:rsid w:val="00C95A94"/>
    <w:rsid w:val="00D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FB2C"/>
  <w15:chartTrackingRefBased/>
  <w15:docId w15:val="{880D7514-A556-46CD-8C6C-C63FE84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C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C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Stepaniene@kt.gov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iva.Stepaniene@kt.gov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gita.Breskyte@kt.gov.l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runas.Keraminas@kt.gov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ne.Sauliene@kt.gov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Saulienė</dc:creator>
  <cp:keywords/>
  <dc:description/>
  <cp:lastModifiedBy>Agnė Saulienė</cp:lastModifiedBy>
  <cp:revision>3</cp:revision>
  <dcterms:created xsi:type="dcterms:W3CDTF">2021-02-02T11:19:00Z</dcterms:created>
  <dcterms:modified xsi:type="dcterms:W3CDTF">2021-02-02T13:00:00Z</dcterms:modified>
</cp:coreProperties>
</file>